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1B7D4" w14:textId="65B6F06B" w:rsidR="00411DA3" w:rsidRDefault="00411DA3" w:rsidP="00547A7C">
      <w:pPr>
        <w:pStyle w:val="Titel"/>
        <w:jc w:val="center"/>
      </w:pPr>
      <w:r>
        <w:t>Leistungs</w:t>
      </w:r>
      <w:r w:rsidR="003E6FF5">
        <w:t>beschreibung</w:t>
      </w:r>
      <w:r>
        <w:t xml:space="preserve">: Lieferung von </w:t>
      </w:r>
      <w:r w:rsidR="008B52EF">
        <w:t>Fällmittel</w:t>
      </w:r>
    </w:p>
    <w:p w14:paraId="19D26167" w14:textId="77777777" w:rsidR="00547A7C" w:rsidRPr="00547A7C" w:rsidRDefault="00547A7C" w:rsidP="00547A7C"/>
    <w:p w14:paraId="5AD619DA" w14:textId="77777777" w:rsidR="00411DA3" w:rsidRDefault="00411DA3" w:rsidP="00411DA3">
      <w:pPr>
        <w:pStyle w:val="berschrift1"/>
      </w:pPr>
      <w:bookmarkStart w:id="0" w:name="_Toc65221238"/>
      <w:r>
        <w:t>Art und Umfang der Leistung</w:t>
      </w:r>
      <w:bookmarkEnd w:id="0"/>
    </w:p>
    <w:p w14:paraId="62AAB83B" w14:textId="12316835" w:rsidR="00411DA3" w:rsidRDefault="00411DA3" w:rsidP="00411DA3">
      <w:r>
        <w:t xml:space="preserve">Bei den nachfolgend beschriebenen Leistungen handelt es sich um einen Abrufauftrag. Der Vertrag beginnt am </w:t>
      </w:r>
      <w:r w:rsidR="00460BEF">
        <w:t>01.1</w:t>
      </w:r>
      <w:r w:rsidR="0044763B">
        <w:t>1</w:t>
      </w:r>
      <w:r w:rsidR="00460BEF">
        <w:t>.202</w:t>
      </w:r>
      <w:r w:rsidR="0044763B">
        <w:t>6</w:t>
      </w:r>
      <w:r>
        <w:t xml:space="preserve"> und endet am 3</w:t>
      </w:r>
      <w:r w:rsidR="00820E3A">
        <w:t>0</w:t>
      </w:r>
      <w:r>
        <w:t>.</w:t>
      </w:r>
      <w:r w:rsidR="00460BEF">
        <w:t>10</w:t>
      </w:r>
      <w:r>
        <w:t>.202</w:t>
      </w:r>
      <w:r w:rsidR="0044763B">
        <w:t>7</w:t>
      </w:r>
      <w:r>
        <w:t xml:space="preserve">. Die Vertragslaufzeit endet am </w:t>
      </w:r>
      <w:r w:rsidR="00820E3A">
        <w:t>30.1</w:t>
      </w:r>
      <w:r w:rsidR="00460BEF">
        <w:t>0</w:t>
      </w:r>
      <w:r w:rsidR="00820E3A">
        <w:t>.202</w:t>
      </w:r>
      <w:r w:rsidR="006D6E9D">
        <w:t>7</w:t>
      </w:r>
      <w:r w:rsidR="00820E3A">
        <w:t xml:space="preserve"> </w:t>
      </w:r>
      <w:r>
        <w:t>ohne vorherige Kündigung.</w:t>
      </w:r>
      <w:r w:rsidR="00460BEF">
        <w:t xml:space="preserve"> Für den Zeitraum Dezember bis April soll ein Eisen-/Aluminium Kombiprodukt geliefert werden im Weiteren bezeichnet als Winterfällmittel. Im Zeitraum Mai bis Oktober soll eine Eisen-III-Sulfatlösung geliefert werden, im Weiteren bezeichnet als Sommerfällmittel. </w:t>
      </w:r>
      <w:r w:rsidR="00D329FC">
        <w:t xml:space="preserve">Die Zeiträume sind Erfahrungswerte aus den letzten Jahren und können sich je nach Jahr verändern. </w:t>
      </w:r>
    </w:p>
    <w:p w14:paraId="4A6A88D3" w14:textId="3A70D199" w:rsidR="00411DA3" w:rsidRDefault="00411DA3" w:rsidP="00411DA3">
      <w:r>
        <w:t xml:space="preserve">Alle Lieferungen haben frei zu der im Leistungsverzeichnis genannten Betriebsanlage zu erfolgen. Erfüllungsort ist die </w:t>
      </w:r>
      <w:r w:rsidR="005E6E52">
        <w:t>Kläranlage Tübingen</w:t>
      </w:r>
      <w:r>
        <w:t>. Das Transportrisiko trägt allein der Auftragnehmer (AN). Die Preise sind einschließlich aller Nebenkosten zu benennen.</w:t>
      </w:r>
    </w:p>
    <w:p w14:paraId="176BA5EA" w14:textId="45617CB9" w:rsidR="00976ECA" w:rsidRDefault="009473D9" w:rsidP="00C5114E">
      <w:r>
        <w:t xml:space="preserve">Als Grundlage eines Lieferangebots </w:t>
      </w:r>
      <w:r w:rsidR="00820E3A">
        <w:t>ist</w:t>
      </w:r>
      <w:r>
        <w:t xml:space="preserve"> </w:t>
      </w:r>
      <w:r w:rsidR="00820E3A">
        <w:t xml:space="preserve">folgender Stoff </w:t>
      </w:r>
      <w:r w:rsidR="00976ECA">
        <w:t>zulässig:</w:t>
      </w:r>
    </w:p>
    <w:tbl>
      <w:tblPr>
        <w:tblStyle w:val="Tabellenraster"/>
        <w:tblW w:w="0" w:type="auto"/>
        <w:tblLook w:val="04A0" w:firstRow="1" w:lastRow="0" w:firstColumn="1" w:lastColumn="0" w:noHBand="0" w:noVBand="1"/>
      </w:tblPr>
      <w:tblGrid>
        <w:gridCol w:w="3114"/>
        <w:gridCol w:w="2268"/>
        <w:gridCol w:w="3402"/>
      </w:tblGrid>
      <w:tr w:rsidR="00460BEF" w:rsidRPr="00EA2357" w14:paraId="2CE3E4A1" w14:textId="51B0E587" w:rsidTr="00460BEF">
        <w:tc>
          <w:tcPr>
            <w:tcW w:w="3114" w:type="dxa"/>
          </w:tcPr>
          <w:p w14:paraId="2E79B1F3" w14:textId="77777777" w:rsidR="00460BEF" w:rsidRPr="00EA2357" w:rsidRDefault="00460BEF" w:rsidP="00C5114E">
            <w:pPr>
              <w:rPr>
                <w:b/>
              </w:rPr>
            </w:pPr>
          </w:p>
        </w:tc>
        <w:tc>
          <w:tcPr>
            <w:tcW w:w="2268" w:type="dxa"/>
          </w:tcPr>
          <w:p w14:paraId="0DAC7A7E" w14:textId="7A2720AA" w:rsidR="00460BEF" w:rsidRPr="00EA2357" w:rsidRDefault="00460BEF" w:rsidP="00C5114E">
            <w:pPr>
              <w:rPr>
                <w:b/>
              </w:rPr>
            </w:pPr>
            <w:r>
              <w:rPr>
                <w:b/>
              </w:rPr>
              <w:t xml:space="preserve">Sommerfällmittel </w:t>
            </w:r>
          </w:p>
        </w:tc>
        <w:tc>
          <w:tcPr>
            <w:tcW w:w="3402" w:type="dxa"/>
          </w:tcPr>
          <w:p w14:paraId="0A625818" w14:textId="7B1D3D05" w:rsidR="00460BEF" w:rsidRPr="00EA2357" w:rsidRDefault="00460BEF" w:rsidP="00C5114E">
            <w:pPr>
              <w:rPr>
                <w:b/>
              </w:rPr>
            </w:pPr>
            <w:r>
              <w:rPr>
                <w:b/>
              </w:rPr>
              <w:t xml:space="preserve">Winterfällmittel </w:t>
            </w:r>
          </w:p>
        </w:tc>
      </w:tr>
      <w:tr w:rsidR="00460BEF" w:rsidRPr="00EA2357" w14:paraId="6F1DD802" w14:textId="79DA4158" w:rsidTr="00460BEF">
        <w:tc>
          <w:tcPr>
            <w:tcW w:w="3114" w:type="dxa"/>
          </w:tcPr>
          <w:p w14:paraId="132FBD7F" w14:textId="660F8E15" w:rsidR="00460BEF" w:rsidRPr="00EA2357" w:rsidRDefault="00460BEF" w:rsidP="00C5114E">
            <w:pPr>
              <w:rPr>
                <w:b/>
              </w:rPr>
            </w:pPr>
            <w:r w:rsidRPr="00EA2357">
              <w:rPr>
                <w:b/>
              </w:rPr>
              <w:t>Stoff</w:t>
            </w:r>
          </w:p>
        </w:tc>
        <w:tc>
          <w:tcPr>
            <w:tcW w:w="2268" w:type="dxa"/>
          </w:tcPr>
          <w:p w14:paraId="298571BA" w14:textId="052E7D63" w:rsidR="00460BEF" w:rsidRPr="00EA2357" w:rsidRDefault="00460BEF" w:rsidP="00C5114E">
            <w:pPr>
              <w:rPr>
                <w:b/>
              </w:rPr>
            </w:pPr>
            <w:r w:rsidRPr="00EA2357">
              <w:rPr>
                <w:b/>
              </w:rPr>
              <w:t>Eisen-III-Sulfatlösung</w:t>
            </w:r>
          </w:p>
        </w:tc>
        <w:tc>
          <w:tcPr>
            <w:tcW w:w="3402" w:type="dxa"/>
          </w:tcPr>
          <w:p w14:paraId="4509C8C0" w14:textId="67921993" w:rsidR="00460BEF" w:rsidRPr="00460BEF" w:rsidRDefault="00460BEF" w:rsidP="00C5114E">
            <w:pPr>
              <w:rPr>
                <w:b/>
              </w:rPr>
            </w:pPr>
            <w:r w:rsidRPr="00460BEF">
              <w:rPr>
                <w:b/>
              </w:rPr>
              <w:t>Eisen-/Aluminium-Kombiprodukt</w:t>
            </w:r>
          </w:p>
        </w:tc>
      </w:tr>
      <w:tr w:rsidR="00460BEF" w14:paraId="735D6902" w14:textId="23674A4A" w:rsidTr="00460BEF">
        <w:tc>
          <w:tcPr>
            <w:tcW w:w="3114" w:type="dxa"/>
          </w:tcPr>
          <w:p w14:paraId="259F9A80" w14:textId="154D6213" w:rsidR="00460BEF" w:rsidRPr="00EA2357" w:rsidRDefault="00460BEF" w:rsidP="00D87FDF">
            <w:pPr>
              <w:rPr>
                <w:b/>
              </w:rPr>
            </w:pPr>
            <w:r w:rsidRPr="00EA2357">
              <w:rPr>
                <w:b/>
              </w:rPr>
              <w:t>Anlieferung</w:t>
            </w:r>
          </w:p>
        </w:tc>
        <w:tc>
          <w:tcPr>
            <w:tcW w:w="2268" w:type="dxa"/>
          </w:tcPr>
          <w:p w14:paraId="76F6E80E" w14:textId="0AC141F3" w:rsidR="00460BEF" w:rsidRDefault="00460BEF" w:rsidP="00D87FDF">
            <w:r>
              <w:t>Im Tankzug</w:t>
            </w:r>
          </w:p>
        </w:tc>
        <w:tc>
          <w:tcPr>
            <w:tcW w:w="3402" w:type="dxa"/>
          </w:tcPr>
          <w:p w14:paraId="4C99B8DF" w14:textId="5B3E4D36" w:rsidR="00460BEF" w:rsidRDefault="00460BEF" w:rsidP="00D87FDF">
            <w:r>
              <w:t xml:space="preserve">Im Tankzug </w:t>
            </w:r>
          </w:p>
        </w:tc>
      </w:tr>
      <w:tr w:rsidR="00460BEF" w14:paraId="1667B097" w14:textId="4056217F" w:rsidTr="00460BEF">
        <w:tc>
          <w:tcPr>
            <w:tcW w:w="3114" w:type="dxa"/>
          </w:tcPr>
          <w:p w14:paraId="43716D76" w14:textId="1DC4A003" w:rsidR="00460BEF" w:rsidRPr="00EA2357" w:rsidRDefault="00460BEF" w:rsidP="00D87FDF">
            <w:pPr>
              <w:rPr>
                <w:b/>
              </w:rPr>
            </w:pPr>
            <w:r w:rsidRPr="00EA2357">
              <w:rPr>
                <w:b/>
              </w:rPr>
              <w:t>Tank</w:t>
            </w:r>
          </w:p>
        </w:tc>
        <w:tc>
          <w:tcPr>
            <w:tcW w:w="2268" w:type="dxa"/>
          </w:tcPr>
          <w:p w14:paraId="71812CF1" w14:textId="7E8E1551" w:rsidR="00460BEF" w:rsidRPr="00CA709B" w:rsidRDefault="00460BEF" w:rsidP="00D87FDF">
            <w:r w:rsidRPr="00CA709B">
              <w:t>2x 25 m³</w:t>
            </w:r>
          </w:p>
        </w:tc>
        <w:tc>
          <w:tcPr>
            <w:tcW w:w="3402" w:type="dxa"/>
          </w:tcPr>
          <w:p w14:paraId="434FE0D9" w14:textId="2F402DCD" w:rsidR="00460BEF" w:rsidRPr="00CA709B" w:rsidRDefault="00460BEF" w:rsidP="00D87FDF">
            <w:r>
              <w:t>2X 25 m³</w:t>
            </w:r>
          </w:p>
        </w:tc>
      </w:tr>
      <w:tr w:rsidR="006D6E9D" w14:paraId="6179ACA3" w14:textId="6A71CB42" w:rsidTr="005C6D22">
        <w:tc>
          <w:tcPr>
            <w:tcW w:w="3114" w:type="dxa"/>
          </w:tcPr>
          <w:p w14:paraId="32716708" w14:textId="6C6A4C0F" w:rsidR="006D6E9D" w:rsidRPr="00EA2357" w:rsidRDefault="006D6E9D" w:rsidP="00D87FDF">
            <w:pPr>
              <w:rPr>
                <w:b/>
              </w:rPr>
            </w:pPr>
            <w:r w:rsidRPr="00EA2357">
              <w:rPr>
                <w:b/>
              </w:rPr>
              <w:t xml:space="preserve">Geschätzter Verbrauch </w:t>
            </w:r>
            <w:r>
              <w:rPr>
                <w:b/>
              </w:rPr>
              <w:t>gesamt</w:t>
            </w:r>
          </w:p>
        </w:tc>
        <w:tc>
          <w:tcPr>
            <w:tcW w:w="5670" w:type="dxa"/>
            <w:gridSpan w:val="2"/>
          </w:tcPr>
          <w:p w14:paraId="2A8F886E" w14:textId="63C351CA" w:rsidR="006D6E9D" w:rsidRDefault="006D6E9D" w:rsidP="006D6E9D">
            <w:pPr>
              <w:jc w:val="center"/>
            </w:pPr>
            <w:r>
              <w:t>900 Tonnen pro Jahr</w:t>
            </w:r>
          </w:p>
        </w:tc>
      </w:tr>
    </w:tbl>
    <w:p w14:paraId="24D444EF" w14:textId="7E655C56" w:rsidR="00976ECA" w:rsidRDefault="00976ECA" w:rsidP="00C5114E"/>
    <w:p w14:paraId="67E23A74" w14:textId="6B9C44FB" w:rsidR="00976ECA" w:rsidRDefault="00976ECA" w:rsidP="00C5114E">
      <w:r>
        <w:t>Die maximal</w:t>
      </w:r>
      <w:r w:rsidR="00AF1F71">
        <w:t xml:space="preserve"> mögliche</w:t>
      </w:r>
      <w:r>
        <w:t xml:space="preserve"> Liefermenge entspricht de</w:t>
      </w:r>
      <w:r w:rsidR="00D87FDF">
        <w:t>n angegebenen</w:t>
      </w:r>
      <w:r>
        <w:t xml:space="preserve"> Tankgröße</w:t>
      </w:r>
      <w:r w:rsidR="00D87FDF">
        <w:t>n</w:t>
      </w:r>
      <w:r w:rsidR="00AF1F71">
        <w:t xml:space="preserve"> eines Tanks</w:t>
      </w:r>
      <w:r w:rsidR="00D87FDF">
        <w:t>.</w:t>
      </w:r>
    </w:p>
    <w:p w14:paraId="1E66877E" w14:textId="63D573DD" w:rsidR="00411DA3" w:rsidRDefault="00411DA3" w:rsidP="00411DA3">
      <w:pPr>
        <w:rPr>
          <w:b/>
        </w:rPr>
      </w:pPr>
      <w:r w:rsidRPr="00411DA3">
        <w:rPr>
          <w:b/>
        </w:rPr>
        <w:t xml:space="preserve">Die genannte Bedarfsmenge ist ein Schätzwert, die </w:t>
      </w:r>
      <w:r w:rsidR="008B52EF">
        <w:rPr>
          <w:b/>
        </w:rPr>
        <w:t xml:space="preserve">im angegebenen Zeitraum </w:t>
      </w:r>
      <w:r w:rsidRPr="00411DA3">
        <w:rPr>
          <w:b/>
        </w:rPr>
        <w:t xml:space="preserve">voraussichtlich </w:t>
      </w:r>
      <w:r w:rsidR="00547A7C">
        <w:rPr>
          <w:b/>
        </w:rPr>
        <w:t>benötigt wird</w:t>
      </w:r>
      <w:r w:rsidRPr="00411DA3">
        <w:rPr>
          <w:b/>
        </w:rPr>
        <w:t>. Ein Anspruch auf die Abnahme der Gesamtmenge</w:t>
      </w:r>
      <w:r>
        <w:rPr>
          <w:b/>
        </w:rPr>
        <w:t xml:space="preserve"> </w:t>
      </w:r>
      <w:r w:rsidRPr="00411DA3">
        <w:rPr>
          <w:b/>
        </w:rPr>
        <w:t xml:space="preserve">besteht nicht. </w:t>
      </w:r>
    </w:p>
    <w:p w14:paraId="5E68B8D3" w14:textId="77777777" w:rsidR="00411DA3" w:rsidRDefault="00411DA3" w:rsidP="00411DA3">
      <w:pPr>
        <w:pStyle w:val="berschrift1"/>
      </w:pPr>
      <w:bookmarkStart w:id="1" w:name="_Toc65221239"/>
      <w:r>
        <w:t>Preisgestaltung</w:t>
      </w:r>
      <w:bookmarkEnd w:id="1"/>
    </w:p>
    <w:p w14:paraId="72875E80" w14:textId="4D5CDAF7" w:rsidR="00411DA3" w:rsidRDefault="00411DA3" w:rsidP="00411DA3">
      <w:r>
        <w:t>Es ist vom Bieter ein Preis pro Tonne inkl. Anlieferung an die Kläranlage in Tübingen zu kalkulieren.</w:t>
      </w:r>
    </w:p>
    <w:p w14:paraId="45E3AAB6" w14:textId="7E491F6A" w:rsidR="0006142F" w:rsidRDefault="0006142F" w:rsidP="00411DA3">
      <w:r w:rsidRPr="003B3343">
        <w:t>Bei der Beurteilung wird der Preis der Wirksubstanz in €/mol-</w:t>
      </w:r>
      <w:r w:rsidR="00EA2357" w:rsidRPr="003B3343">
        <w:t>wirksam</w:t>
      </w:r>
      <w:r w:rsidRPr="003B3343">
        <w:t xml:space="preserve"> </w:t>
      </w:r>
      <w:r w:rsidR="00EA2357" w:rsidRPr="003B3343">
        <w:t xml:space="preserve">für </w:t>
      </w:r>
      <w:r w:rsidR="00D87FDF" w:rsidRPr="003B3343">
        <w:t>die einzelnen Stoffe berechnet.</w:t>
      </w:r>
    </w:p>
    <w:p w14:paraId="064A11EA" w14:textId="77777777" w:rsidR="00C93926" w:rsidRDefault="00C93926" w:rsidP="00C93926">
      <w:pPr>
        <w:pStyle w:val="berschrift1"/>
      </w:pPr>
      <w:bookmarkStart w:id="2" w:name="_Toc65221240"/>
      <w:r>
        <w:t>Gewährleistung</w:t>
      </w:r>
      <w:bookmarkEnd w:id="2"/>
    </w:p>
    <w:p w14:paraId="442F9810" w14:textId="6DF4CE73" w:rsidR="008B52EF" w:rsidRDefault="008B52EF" w:rsidP="008B52EF">
      <w:r>
        <w:t xml:space="preserve">Der Auftragnehmer ist verpflichtet das Fällmittel stets in gleicher Zusammensetzung entsprechend dem </w:t>
      </w:r>
      <w:r w:rsidR="00AF1F71">
        <w:t>technischen Daten</w:t>
      </w:r>
      <w:r>
        <w:t xml:space="preserve">blatt </w:t>
      </w:r>
      <w:r>
        <w:rPr>
          <w:b/>
        </w:rPr>
        <w:t xml:space="preserve">(vom Auftragnehmer dem Angebot beizufügen) </w:t>
      </w:r>
      <w:r>
        <w:t xml:space="preserve">zu liefern. Der Auftraggeber (AG) behält sich vor, die geforderte Qualität stichprobenartig zu überprüfen und Rückstellproben zu fordern. Bei einer Überschreitung der Vorgaben gem. der vorgeschriebenen „Zusammensetzung“ sowie der „Verunreinigungen, Nebenbestandteilen und toxischen Substanzen“ wird das Fällmittel vom Auftraggeber nicht angenommen und auf Kosten des Auftragnehmers zum Abfüllort </w:t>
      </w:r>
      <w:r w:rsidR="006F4A66">
        <w:t>zurückgesandt</w:t>
      </w:r>
      <w:r>
        <w:t>.</w:t>
      </w:r>
    </w:p>
    <w:p w14:paraId="49F5F871" w14:textId="3EC4D67F" w:rsidR="008B52EF" w:rsidRDefault="008B52EF" w:rsidP="008B52EF">
      <w:r>
        <w:t>Der Auftraggeber ist in diesem Fall berechtigt, einen Deckungskauf zu tätigen und die entstandenen Kosten dem Auftragnehmer in Rechnung zu stellen.</w:t>
      </w:r>
    </w:p>
    <w:p w14:paraId="6D951B4B" w14:textId="7050089F" w:rsidR="008B52EF" w:rsidRDefault="008B52EF" w:rsidP="008B52EF">
      <w:r>
        <w:lastRenderedPageBreak/>
        <w:t>Soweit dem Auftraggeber durch Lieferung ungeeigneter bzw. den Anforderungen nicht gerecht werdender Stoffgemische Schäden an der Anlage oder erhöhte Betriebsaufwendungen entstehen, behält sich dieser die Forderung entsprechender Schadensersatzleistungen ausdrücklich vor.</w:t>
      </w:r>
    </w:p>
    <w:p w14:paraId="7EE544CD" w14:textId="4CB9B189" w:rsidR="006F4A66" w:rsidRDefault="006F4A66" w:rsidP="00C93926">
      <w:pPr>
        <w:pStyle w:val="berschrift1"/>
      </w:pPr>
      <w:bookmarkStart w:id="3" w:name="_Toc65221241"/>
      <w:r>
        <w:t>Zahlungen</w:t>
      </w:r>
    </w:p>
    <w:p w14:paraId="149E8B4D" w14:textId="25D0CD62" w:rsidR="006F4A66" w:rsidRDefault="006F4A66" w:rsidP="006F4A66">
      <w:r>
        <w:t xml:space="preserve">Die Rechnungserstellung erfolgt nach tatsächlich gelieferter Abrufmenge. Die Rechnungen sind gemäß Vorgabe </w:t>
      </w:r>
      <w:r w:rsidR="009C270E">
        <w:t>der Stadt Tübingen</w:t>
      </w:r>
      <w:r>
        <w:t xml:space="preserve"> unter Verweis auf die Einzelbestellung einzureichen. </w:t>
      </w:r>
    </w:p>
    <w:p w14:paraId="2152CF55" w14:textId="77777777" w:rsidR="006F4A66" w:rsidRDefault="006F4A66" w:rsidP="006F4A66">
      <w:r>
        <w:t>Die Rechnungsanschrift lautet:</w:t>
      </w:r>
    </w:p>
    <w:p w14:paraId="0ADCB44F" w14:textId="235839BB" w:rsidR="006F4A66" w:rsidRDefault="006F4A66" w:rsidP="006F4A66">
      <w:pPr>
        <w:spacing w:after="0"/>
        <w:jc w:val="center"/>
      </w:pPr>
      <w:r>
        <w:t>KST Tübingen</w:t>
      </w:r>
    </w:p>
    <w:p w14:paraId="0AAB8DE2" w14:textId="5747F6F9" w:rsidR="006F4A66" w:rsidRDefault="006F4A66" w:rsidP="006F4A66">
      <w:pPr>
        <w:spacing w:after="0"/>
        <w:jc w:val="center"/>
      </w:pPr>
      <w:r>
        <w:t>Stadtentwässerung</w:t>
      </w:r>
    </w:p>
    <w:p w14:paraId="7EDAA271" w14:textId="339B0797" w:rsidR="006F4A66" w:rsidRDefault="006F4A66" w:rsidP="006F4A66">
      <w:pPr>
        <w:spacing w:after="0"/>
        <w:jc w:val="center"/>
      </w:pPr>
      <w:r>
        <w:t>Nürtinger Str. 120</w:t>
      </w:r>
    </w:p>
    <w:p w14:paraId="5D7F0A6A" w14:textId="56471A65" w:rsidR="006F4A66" w:rsidRDefault="006F4A66" w:rsidP="006F4A66">
      <w:pPr>
        <w:spacing w:after="0"/>
        <w:jc w:val="center"/>
      </w:pPr>
      <w:r>
        <w:t>72074 Tübingen</w:t>
      </w:r>
    </w:p>
    <w:p w14:paraId="00CC7C52" w14:textId="5B24139E" w:rsidR="00820E3A" w:rsidRPr="006F4A66" w:rsidRDefault="00820E3A" w:rsidP="006F4A66">
      <w:pPr>
        <w:spacing w:after="0"/>
        <w:jc w:val="center"/>
      </w:pPr>
      <w:hyperlink r:id="rId6" w:history="1">
        <w:r w:rsidRPr="00926266">
          <w:rPr>
            <w:rStyle w:val="Hyperlink"/>
          </w:rPr>
          <w:t>stadtentwaesserung@tuebingen.de</w:t>
        </w:r>
      </w:hyperlink>
      <w:r>
        <w:t xml:space="preserve"> </w:t>
      </w:r>
    </w:p>
    <w:p w14:paraId="4A23B6BA" w14:textId="2083E497" w:rsidR="00C93926" w:rsidRDefault="00C93926" w:rsidP="00C93926">
      <w:pPr>
        <w:pStyle w:val="berschrift1"/>
      </w:pPr>
      <w:r>
        <w:t>Festpreise</w:t>
      </w:r>
      <w:bookmarkEnd w:id="3"/>
    </w:p>
    <w:p w14:paraId="5725E006" w14:textId="77777777" w:rsidR="00C93926" w:rsidRDefault="00C93926" w:rsidP="00C93926">
      <w:r>
        <w:t xml:space="preserve">Die Angebotspreise sind als Bruttopreise anzubieten. </w:t>
      </w:r>
    </w:p>
    <w:p w14:paraId="631039F1" w14:textId="43BABEFA" w:rsidR="00C93926" w:rsidRDefault="00C93926" w:rsidP="00C93926">
      <w:r>
        <w:t>Die angebotenen Netto-</w:t>
      </w:r>
      <w:r w:rsidR="009C270E">
        <w:t>Einheitsp</w:t>
      </w:r>
      <w:r>
        <w:t>reise</w:t>
      </w:r>
      <w:r w:rsidR="009C270E">
        <w:t xml:space="preserve"> (je Tonne)</w:t>
      </w:r>
      <w:r>
        <w:t xml:space="preserve"> sind für die gesamte Vertragslaufzeit Festpreise.</w:t>
      </w:r>
    </w:p>
    <w:p w14:paraId="008BC4BF" w14:textId="77777777" w:rsidR="00C93926" w:rsidRDefault="00C93926" w:rsidP="00C93926">
      <w:r>
        <w:t>Sie bleiben unverändert bei Änderung der Preisermittlungsgrundlage infolge Erhöhungen oder Ermäßigungen von Löhnen, Gehältern und Materialpreisen, von Gemeinkosten, von allgemeinen Geschäftskosten und bei Änderung der steuerlichen Belastung.</w:t>
      </w:r>
    </w:p>
    <w:p w14:paraId="0D077FF9" w14:textId="0EB08984" w:rsidR="00C93926" w:rsidRDefault="00C93926" w:rsidP="00C93926">
      <w:pPr>
        <w:pStyle w:val="berschrift1"/>
      </w:pPr>
      <w:bookmarkStart w:id="4" w:name="_Toc65221242"/>
      <w:r>
        <w:t>Qualität de</w:t>
      </w:r>
      <w:r w:rsidR="001603F0">
        <w:t>s</w:t>
      </w:r>
      <w:r>
        <w:t xml:space="preserve"> Produkt</w:t>
      </w:r>
      <w:r w:rsidR="001603F0">
        <w:t>s</w:t>
      </w:r>
      <w:bookmarkEnd w:id="4"/>
    </w:p>
    <w:p w14:paraId="01800C78" w14:textId="02E58F9E" w:rsidR="008B52EF" w:rsidRDefault="008B52EF" w:rsidP="008B52EF">
      <w:r>
        <w:t xml:space="preserve">Die Anforderungen und Reinheitskriterien richten sich </w:t>
      </w:r>
      <w:r w:rsidR="00915586">
        <w:t xml:space="preserve">für </w:t>
      </w:r>
      <w:r w:rsidR="00F71B9B">
        <w:t xml:space="preserve">die </w:t>
      </w:r>
      <w:r w:rsidR="00915586">
        <w:t xml:space="preserve">Eisen-(III)-Sulfatlösung </w:t>
      </w:r>
      <w:r>
        <w:t xml:space="preserve">nach </w:t>
      </w:r>
      <w:r w:rsidRPr="00F71B9B">
        <w:t>DIN EN 890</w:t>
      </w:r>
      <w:r>
        <w:t xml:space="preserve">. </w:t>
      </w:r>
      <w:r w:rsidR="00FD6B27">
        <w:t xml:space="preserve">Zudem darf die Dichte </w:t>
      </w:r>
      <w:r w:rsidR="00F71B9B">
        <w:t>maximal</w:t>
      </w:r>
      <w:r w:rsidR="00FD6B27">
        <w:t xml:space="preserve"> </w:t>
      </w:r>
      <w:r w:rsidR="00FD6B27" w:rsidRPr="00CA709B">
        <w:t>1,5</w:t>
      </w:r>
      <w:r w:rsidR="00CA709B" w:rsidRPr="00CA709B">
        <w:t>2</w:t>
      </w:r>
      <w:r w:rsidR="00FD6B27" w:rsidRPr="00CA709B">
        <w:t xml:space="preserve"> g/</w:t>
      </w:r>
      <w:r w:rsidR="00CA709B" w:rsidRPr="00CA709B">
        <w:t>ml</w:t>
      </w:r>
      <w:r w:rsidR="009C270E">
        <w:t xml:space="preserve"> betragen</w:t>
      </w:r>
      <w:r w:rsidR="00CA709B" w:rsidRPr="00CA709B">
        <w:t xml:space="preserve"> </w:t>
      </w:r>
      <w:r w:rsidR="00CA709B">
        <w:t>und</w:t>
      </w:r>
      <w:r w:rsidR="00F71B9B">
        <w:t xml:space="preserve"> der Eisenanteil muss </w:t>
      </w:r>
      <w:r w:rsidR="009C270E">
        <w:t xml:space="preserve">bei </w:t>
      </w:r>
      <w:r w:rsidR="00F71B9B">
        <w:t>mindestens 11,5</w:t>
      </w:r>
      <w:r w:rsidR="00F71B9B" w:rsidRPr="00F71B9B">
        <w:t xml:space="preserve"> % </w:t>
      </w:r>
      <w:r w:rsidR="009C270E">
        <w:t>liegen</w:t>
      </w:r>
      <w:r w:rsidR="00FD6B27">
        <w:t>.</w:t>
      </w:r>
    </w:p>
    <w:p w14:paraId="56FF6265" w14:textId="77777777" w:rsidR="00460BEF" w:rsidRDefault="00460BEF" w:rsidP="00460BEF">
      <w:r w:rsidRPr="00BE582D">
        <w:t>Die Anforderungen und Reinheitskriterien für das Eisen-/Aluminium-Kombiprodukt richten sich nach</w:t>
      </w:r>
      <w:r>
        <w:t xml:space="preserve"> der jeweiligen Zusammensetzung des Produktes. Alle geltenden Vorschriften sind einzuhalten. Die Dichte darf maximal </w:t>
      </w:r>
      <w:r w:rsidRPr="004A447F">
        <w:t xml:space="preserve">1,42 g/ml </w:t>
      </w:r>
      <w:r>
        <w:t>betragen und der summarische Eisen- und Aluminiumanteil muss bei mind. 9,0</w:t>
      </w:r>
      <w:r w:rsidRPr="00F71B9B">
        <w:t xml:space="preserve"> % </w:t>
      </w:r>
      <w:r>
        <w:t>liegen.</w:t>
      </w:r>
    </w:p>
    <w:p w14:paraId="0071AE29" w14:textId="2A3BD3CA" w:rsidR="008B52EF" w:rsidRDefault="008B52EF" w:rsidP="008B52EF">
      <w:r>
        <w:t xml:space="preserve">Des Weiteren sind die Richtwerte des Arbeitsblattes der </w:t>
      </w:r>
      <w:r w:rsidR="00820E3A">
        <w:t>D</w:t>
      </w:r>
      <w:r>
        <w:t>eutschen Vereinigung für Wasserwirtschaft, Abwasser und Abfall (DWA) - A 202 mit Stand Mai 2011 bindend.</w:t>
      </w:r>
    </w:p>
    <w:p w14:paraId="2A26FE35" w14:textId="19CA8E7D" w:rsidR="00D064E6" w:rsidRPr="00D064E6" w:rsidRDefault="00D064E6" w:rsidP="00D064E6">
      <w:r w:rsidRPr="00D064E6">
        <w:t xml:space="preserve">Produkte (Gemisch, </w:t>
      </w:r>
      <w:r w:rsidRPr="00D064E6">
        <w:rPr>
          <w:u w:val="single"/>
        </w:rPr>
        <w:t xml:space="preserve">nicht </w:t>
      </w:r>
      <w:r w:rsidRPr="00D064E6">
        <w:t>einzelne Bestandteile), die nach Gefahrstoffverordnung</w:t>
      </w:r>
      <w:r>
        <w:t xml:space="preserve"> </w:t>
      </w:r>
      <w:r w:rsidRPr="00D064E6">
        <w:t>bzw. CLP/GHS-Verordnung wie folgt gekennzeichnet sind, werden ausgeschlossen:</w:t>
      </w:r>
    </w:p>
    <w:p w14:paraId="34F2F0E0" w14:textId="7DD5E8F3" w:rsidR="00D064E6" w:rsidRPr="00D064E6" w:rsidRDefault="00D064E6" w:rsidP="00D064E6">
      <w:r w:rsidRPr="00D064E6">
        <w:t>CLP/GHS</w:t>
      </w:r>
    </w:p>
    <w:p w14:paraId="5AEDD3BB" w14:textId="5D48E493" w:rsidR="00D064E6" w:rsidRPr="00D064E6" w:rsidRDefault="00D064E6" w:rsidP="00D064E6">
      <w:pPr>
        <w:ind w:left="851"/>
      </w:pPr>
      <w:r w:rsidRPr="00D064E6">
        <w:t>Gefahrenpiktogramm: GHS 06, GHS 08 (nur in Verbindung mit H340,</w:t>
      </w:r>
      <w:r>
        <w:t xml:space="preserve"> </w:t>
      </w:r>
      <w:r w:rsidRPr="00D064E6">
        <w:t>H341, H350, H350i, H351, H360, H361)</w:t>
      </w:r>
    </w:p>
    <w:p w14:paraId="5E706B1B" w14:textId="50D624C1" w:rsidR="00D064E6" w:rsidRDefault="00D064E6" w:rsidP="00D064E6">
      <w:pPr>
        <w:ind w:left="851"/>
      </w:pPr>
      <w:r w:rsidRPr="00D064E6">
        <w:t>H-Sätze: H300, H301, H310, H311, H314 (Kat.1 A), H330, H331 H340,</w:t>
      </w:r>
      <w:r>
        <w:t xml:space="preserve"> </w:t>
      </w:r>
      <w:r w:rsidRPr="00D064E6">
        <w:t>H341, H350, H350i, H351, H360, H361, H370, H372</w:t>
      </w:r>
    </w:p>
    <w:p w14:paraId="7CB02D0C" w14:textId="46233152" w:rsidR="008B52EF" w:rsidRDefault="008B52EF" w:rsidP="00296DD5">
      <w:r>
        <w:t xml:space="preserve">Der Bieter hat bei Angebotsabgabe </w:t>
      </w:r>
      <w:r w:rsidR="00D064E6">
        <w:t xml:space="preserve">verbindlich </w:t>
      </w:r>
      <w:r>
        <w:t>zu bestätigen, dass sein</w:t>
      </w:r>
      <w:r w:rsidR="00D064E6">
        <w:t>e</w:t>
      </w:r>
      <w:r>
        <w:t xml:space="preserve"> Produkt</w:t>
      </w:r>
      <w:r w:rsidR="00D064E6">
        <w:t xml:space="preserve">e </w:t>
      </w:r>
      <w:r>
        <w:t>frei von</w:t>
      </w:r>
      <w:r w:rsidR="006F4A66">
        <w:t xml:space="preserve"> </w:t>
      </w:r>
      <w:r>
        <w:t xml:space="preserve">Feststoffen </w:t>
      </w:r>
      <w:r w:rsidR="009C270E">
        <w:t>sind</w:t>
      </w:r>
      <w:r>
        <w:t xml:space="preserve"> und keine Ablagerungen von sich bildenden Feststoffen innerhalb</w:t>
      </w:r>
      <w:r w:rsidR="006F4A66">
        <w:t xml:space="preserve"> </w:t>
      </w:r>
      <w:r>
        <w:t>von 4 Wochen Lagerung entstehen.</w:t>
      </w:r>
    </w:p>
    <w:p w14:paraId="2CAF7CB0" w14:textId="060CD88B" w:rsidR="00D064E6" w:rsidRDefault="00D064E6" w:rsidP="00296DD5">
      <w:r>
        <w:lastRenderedPageBreak/>
        <w:t>Der Bieter hat bei der Angebotsabgabe die Einhaltung der o.g. Anforderungen für seine Produkte verbindlich zu erklären und die Garantie für deren Einhaltung bei allen Teillieferungen zu übernehmen.</w:t>
      </w:r>
    </w:p>
    <w:p w14:paraId="38491BEF" w14:textId="30F18F9C" w:rsidR="00C93926" w:rsidRDefault="00C93926" w:rsidP="00C93926">
      <w:pPr>
        <w:pStyle w:val="berschrift1"/>
      </w:pPr>
      <w:bookmarkStart w:id="5" w:name="_Toc65221243"/>
      <w:r>
        <w:t>Lage der Lieferstelle</w:t>
      </w:r>
      <w:bookmarkEnd w:id="5"/>
    </w:p>
    <w:p w14:paraId="7EB83F04" w14:textId="6AA9482B" w:rsidR="001603F0" w:rsidRDefault="00C93926" w:rsidP="00C93926">
      <w:r>
        <w:t xml:space="preserve">Die Anlieferung </w:t>
      </w:r>
      <w:r w:rsidR="00EB1611">
        <w:t xml:space="preserve">des </w:t>
      </w:r>
      <w:r w:rsidR="00E21F2C">
        <w:t>Fällmittels</w:t>
      </w:r>
      <w:r>
        <w:t xml:space="preserve"> erfolgt auf dem Grundstück der Kläranlage Tübingen, Bismarckstr. 202, 72074 Tübingen. </w:t>
      </w:r>
    </w:p>
    <w:p w14:paraId="036E0B8E" w14:textId="0A678456" w:rsidR="003D782F" w:rsidRDefault="003D782F" w:rsidP="003D782F">
      <w:pPr>
        <w:pStyle w:val="berschrift1"/>
      </w:pPr>
      <w:bookmarkStart w:id="6" w:name="_Toc65221245"/>
      <w:r>
        <w:t>Schutz der vorhandenen Anlagen</w:t>
      </w:r>
      <w:bookmarkEnd w:id="6"/>
    </w:p>
    <w:p w14:paraId="2FBE02C1" w14:textId="2F5AD440" w:rsidR="003D782F" w:rsidRDefault="003D782F" w:rsidP="003D782F">
      <w:r>
        <w:t xml:space="preserve">Die im Bereich der Lagerbehälter des Lagerortes vorhandenen Anlagen sind sorgfältig zu schützen. Der AN hat seine Leistung / Lieferung so zu erbringen, dass Beschädigungen </w:t>
      </w:r>
      <w:r w:rsidR="00482AA7">
        <w:t>am Eigentum des AG</w:t>
      </w:r>
      <w:r>
        <w:t xml:space="preserve"> ausgeschlossen sind. Andernfalls hat der AN von ihm verursachte Schäden auf seine Kosten unverzüglich zu beseitigen.</w:t>
      </w:r>
    </w:p>
    <w:p w14:paraId="277C7A7C" w14:textId="77777777" w:rsidR="003D782F" w:rsidRDefault="003D782F" w:rsidP="003D782F">
      <w:r>
        <w:t>Den Anordnungen des Betriebspersonals ist in jedem Fall Folge zu leisten.</w:t>
      </w:r>
    </w:p>
    <w:p w14:paraId="54EB7C90" w14:textId="3F4D9297" w:rsidR="003D782F" w:rsidRDefault="003D782F" w:rsidP="003D782F">
      <w:pPr>
        <w:pStyle w:val="berschrift1"/>
      </w:pPr>
      <w:bookmarkStart w:id="7" w:name="_Toc65221246"/>
      <w:r>
        <w:t>Liefertermine</w:t>
      </w:r>
      <w:bookmarkEnd w:id="7"/>
      <w:r>
        <w:t xml:space="preserve"> </w:t>
      </w:r>
    </w:p>
    <w:p w14:paraId="3FCF9272" w14:textId="39AB000A" w:rsidR="007349BC" w:rsidRDefault="007349BC" w:rsidP="007349BC">
      <w:r>
        <w:t xml:space="preserve">Die Anlieferung der Produkte zu der jeweiligen Lieferstelle hat spätestens 5 Werktage nach dem Bestelltermin Mo-Do in der Zeit </w:t>
      </w:r>
      <w:r w:rsidRPr="003D782F">
        <w:t>von 07:30 Uhr bis</w:t>
      </w:r>
      <w:r>
        <w:t xml:space="preserve"> 15:30 Uhr, freitags von 7:30 Uhr bis 12:30 Uhr zu erfolgen.</w:t>
      </w:r>
      <w:r w:rsidR="00C200EA">
        <w:t xml:space="preserve"> </w:t>
      </w:r>
    </w:p>
    <w:p w14:paraId="447E4853" w14:textId="2D2AB0CD" w:rsidR="007349BC" w:rsidRDefault="007349BC" w:rsidP="007349BC">
      <w:r>
        <w:t>In Absprache mit den jeweiligen Anlagenverantwortlichen (Betriebsstellenleiter bzw. Vertretung) können auch hiervon abweichende Liefertermine vereinbart werden.</w:t>
      </w:r>
    </w:p>
    <w:p w14:paraId="67E6C440" w14:textId="10B3F4C1" w:rsidR="00C200EA" w:rsidRDefault="00C200EA" w:rsidP="007349BC">
      <w:r>
        <w:t xml:space="preserve">Der Anlagenverantwortlich ordnet zudem den Wechsel des Produktes an. </w:t>
      </w:r>
    </w:p>
    <w:p w14:paraId="61AA6A5B" w14:textId="77777777" w:rsidR="003D782F" w:rsidRDefault="003D782F" w:rsidP="003D782F">
      <w:pPr>
        <w:pStyle w:val="berschrift1"/>
      </w:pPr>
      <w:bookmarkStart w:id="8" w:name="_Toc65221247"/>
      <w:r>
        <w:t>Befüllung der Lagerbehälter</w:t>
      </w:r>
      <w:bookmarkEnd w:id="8"/>
    </w:p>
    <w:p w14:paraId="62A3EE50" w14:textId="75234180" w:rsidR="003D782F" w:rsidRDefault="003D782F" w:rsidP="003D782F">
      <w:r>
        <w:t>Ein namentlich zu benennender Verantwortlicher des AN wird in die Örtlichkeiten und die von den Anlagen ausgehenden Gefährdungen u.a. anhand der Betriebsordnung für Fremdfirmen eingewiesen und ist verantwortlich für die Weitergabe an seine Mitarbeiter bzw. die von ihm beauftragten Firmen. Die Einweisung wird durch den AG dokumentiert.</w:t>
      </w:r>
    </w:p>
    <w:p w14:paraId="05B53621" w14:textId="337C8FD1" w:rsidR="007349BC" w:rsidRDefault="003D782F" w:rsidP="007349BC">
      <w:r>
        <w:t>Der</w:t>
      </w:r>
      <w:r w:rsidR="007349BC">
        <w:t xml:space="preserve"> Entladevorgang der Tankfahrzeuge ist nach Einweisung durch das Betriebspersonal vom Spediteur auszuführen. Der Befüllvorgang ist ständig zu überwachen und Tropfverluste sind zu vermeiden. Auf die gesetzlichen Vorschriften zur Nutzung der persönlichen Schutzausrüstung bei Umgang mit Gefahrstoffen wird verwiesen.</w:t>
      </w:r>
    </w:p>
    <w:p w14:paraId="21604A3A" w14:textId="12B63495" w:rsidR="007349BC" w:rsidRDefault="007349BC" w:rsidP="007349BC">
      <w:r>
        <w:t>Die erforderliche Reinigung bzw. Spülung der Schläuche setzt eine größtmögliche Entleerung durch Rücksaugen oder Ausblasen voraus. Dieses ist mit äußerster Sorgfalt in Bezug auf den Schutz der Gesundheit, der Umwelt und der Lagerbehälter auszuführen.</w:t>
      </w:r>
    </w:p>
    <w:p w14:paraId="267121F3" w14:textId="3AF88511" w:rsidR="009473D9" w:rsidRDefault="009473D9" w:rsidP="009473D9">
      <w:pPr>
        <w:pStyle w:val="berschrift1"/>
      </w:pPr>
      <w:bookmarkStart w:id="9" w:name="_Toc65221248"/>
      <w:r>
        <w:t>Sicherheitsdatenbl</w:t>
      </w:r>
      <w:r w:rsidR="005E6E52">
        <w:t>att</w:t>
      </w:r>
      <w:bookmarkEnd w:id="9"/>
    </w:p>
    <w:p w14:paraId="5D304144" w14:textId="77777777" w:rsidR="009473D9" w:rsidRDefault="009473D9" w:rsidP="009473D9">
      <w:r>
        <w:t xml:space="preserve">Im Auftragsfall ist ein jeweilig </w:t>
      </w:r>
      <w:r w:rsidRPr="009473D9">
        <w:t>aktuelles</w:t>
      </w:r>
      <w:r>
        <w:rPr>
          <w:rFonts w:ascii="Arial,Bold" w:hAnsi="Arial,Bold" w:cs="Arial,Bold"/>
          <w:b/>
          <w:bCs/>
        </w:rPr>
        <w:t xml:space="preserve"> </w:t>
      </w:r>
      <w:r>
        <w:t>Sicherheitsdatenblatt:</w:t>
      </w:r>
    </w:p>
    <w:p w14:paraId="28B9A736" w14:textId="3D37FBF1" w:rsidR="009473D9" w:rsidRDefault="009473D9" w:rsidP="006A6E3E">
      <w:pPr>
        <w:pStyle w:val="Listenabsatz"/>
        <w:numPr>
          <w:ilvl w:val="0"/>
          <w:numId w:val="8"/>
        </w:numPr>
      </w:pPr>
      <w:r w:rsidRPr="009473D9">
        <w:t>an die Kläranlage Tübingen zu senden</w:t>
      </w:r>
      <w:r>
        <w:t xml:space="preserve"> sowie</w:t>
      </w:r>
    </w:p>
    <w:p w14:paraId="75509197" w14:textId="27C9239F" w:rsidR="009473D9" w:rsidRDefault="009473D9" w:rsidP="009473D9">
      <w:pPr>
        <w:pStyle w:val="Listenabsatz"/>
        <w:numPr>
          <w:ilvl w:val="0"/>
          <w:numId w:val="8"/>
        </w:numPr>
      </w:pPr>
      <w:r>
        <w:t>bei Aktualisierungen zu übergeben.</w:t>
      </w:r>
    </w:p>
    <w:p w14:paraId="2EEE38EE" w14:textId="77777777" w:rsidR="009473D9" w:rsidRPr="009473D9" w:rsidRDefault="009473D9" w:rsidP="009473D9">
      <w:pPr>
        <w:pStyle w:val="berschrift1"/>
      </w:pPr>
      <w:bookmarkStart w:id="10" w:name="_Toc65221249"/>
      <w:r w:rsidRPr="009473D9">
        <w:t>Unfallgefahren</w:t>
      </w:r>
      <w:bookmarkEnd w:id="10"/>
    </w:p>
    <w:p w14:paraId="2D34245B" w14:textId="7B81A90B" w:rsidR="009473D9" w:rsidRPr="009473D9" w:rsidRDefault="009473D9" w:rsidP="009473D9">
      <w:r w:rsidRPr="009473D9">
        <w:t>Grundsätzlich wird auf die Einhaltung der Unfallverhütungsvorschriften der zuständigen</w:t>
      </w:r>
      <w:r>
        <w:t xml:space="preserve"> </w:t>
      </w:r>
      <w:r w:rsidRPr="009473D9">
        <w:t>Berufsgenossenschaft, auf das Sicherheitsdatenblatt des jeweiligen Produktes und das Unfallmerkblatt für</w:t>
      </w:r>
      <w:r>
        <w:t xml:space="preserve"> </w:t>
      </w:r>
      <w:r w:rsidRPr="009473D9">
        <w:t>den Straßentransport verwiesen.</w:t>
      </w:r>
    </w:p>
    <w:p w14:paraId="44638A9B" w14:textId="12582134" w:rsidR="009473D9" w:rsidRDefault="009473D9" w:rsidP="009473D9">
      <w:r w:rsidRPr="009473D9">
        <w:lastRenderedPageBreak/>
        <w:t xml:space="preserve">Der </w:t>
      </w:r>
      <w:r w:rsidR="005E6E52">
        <w:t>AN</w:t>
      </w:r>
      <w:r w:rsidRPr="009473D9">
        <w:t xml:space="preserve"> hat alle Maßnahmen zur Unfallverhütung zu treffen.</w:t>
      </w:r>
    </w:p>
    <w:p w14:paraId="39C92417" w14:textId="03D342E3" w:rsidR="009473D9" w:rsidRDefault="009473D9" w:rsidP="009473D9">
      <w:r>
        <w:t xml:space="preserve">Der </w:t>
      </w:r>
      <w:r w:rsidR="005E6E52">
        <w:t>AN</w:t>
      </w:r>
      <w:r>
        <w:t xml:space="preserve"> hat sein Personal entsprechend zu unterweisen</w:t>
      </w:r>
    </w:p>
    <w:p w14:paraId="747A60A4" w14:textId="61C35521" w:rsidR="009473D9" w:rsidRDefault="009473D9" w:rsidP="009473D9">
      <w:r>
        <w:t>Auf allen Straßen und Wegen der Lieferstelle gilt die Straßenverkehrsordnung (StVO) der Bundesrepublik Deutschland.</w:t>
      </w:r>
    </w:p>
    <w:p w14:paraId="15DA6F10" w14:textId="77777777" w:rsidR="009473D9" w:rsidRDefault="009473D9" w:rsidP="009473D9">
      <w:pPr>
        <w:pStyle w:val="berschrift1"/>
      </w:pPr>
      <w:bookmarkStart w:id="11" w:name="_Toc65221250"/>
      <w:r>
        <w:t>Umweltschutz</w:t>
      </w:r>
      <w:bookmarkEnd w:id="11"/>
    </w:p>
    <w:p w14:paraId="77E37979" w14:textId="77777777" w:rsidR="009473D9" w:rsidRDefault="009473D9" w:rsidP="009473D9">
      <w:r>
        <w:t>Die Belästigung von Anwohnern, Passanten und dem Betriebspersonal im Zufahrtsbereich sowie auf dem Betriebsgelände durch Lärm, Staubentwicklung oder dergleichen ist auf ein Mindestmaß zu beschränken. Behördliche Anordnungen oder erhobene Ansprüche Dritter wegen Lärmbelästigung, Staubentwicklung oder Beschädigungen hat der AN dem AG sofort schriftlich mitzuteilen.</w:t>
      </w:r>
    </w:p>
    <w:p w14:paraId="6CB80DCA" w14:textId="77777777" w:rsidR="009473D9" w:rsidRDefault="009473D9" w:rsidP="009473D9">
      <w:r>
        <w:t>Insbesondere sind alle relevanten umweltrechtlichen Vorschriften zwingend einzuhalten.</w:t>
      </w:r>
    </w:p>
    <w:p w14:paraId="7393D63C" w14:textId="4DF33FA4" w:rsidR="00561273" w:rsidRPr="00561273" w:rsidRDefault="00561273" w:rsidP="00561273"/>
    <w:p w14:paraId="052241D0" w14:textId="77777777" w:rsidR="00EA2357" w:rsidRDefault="00EA2357" w:rsidP="00C11B55"/>
    <w:sectPr w:rsidR="00EA235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6E06"/>
    <w:multiLevelType w:val="hybridMultilevel"/>
    <w:tmpl w:val="541AF18E"/>
    <w:lvl w:ilvl="0" w:tplc="0407000F">
      <w:start w:val="1"/>
      <w:numFmt w:val="decimal"/>
      <w:lvlText w:val="%1."/>
      <w:lvlJc w:val="left"/>
      <w:pPr>
        <w:ind w:left="784" w:hanging="360"/>
      </w:pPr>
    </w:lvl>
    <w:lvl w:ilvl="1" w:tplc="04070019" w:tentative="1">
      <w:start w:val="1"/>
      <w:numFmt w:val="lowerLetter"/>
      <w:lvlText w:val="%2."/>
      <w:lvlJc w:val="left"/>
      <w:pPr>
        <w:ind w:left="1504" w:hanging="360"/>
      </w:pPr>
    </w:lvl>
    <w:lvl w:ilvl="2" w:tplc="0407001B" w:tentative="1">
      <w:start w:val="1"/>
      <w:numFmt w:val="lowerRoman"/>
      <w:lvlText w:val="%3."/>
      <w:lvlJc w:val="right"/>
      <w:pPr>
        <w:ind w:left="2224" w:hanging="180"/>
      </w:pPr>
    </w:lvl>
    <w:lvl w:ilvl="3" w:tplc="0407000F" w:tentative="1">
      <w:start w:val="1"/>
      <w:numFmt w:val="decimal"/>
      <w:lvlText w:val="%4."/>
      <w:lvlJc w:val="left"/>
      <w:pPr>
        <w:ind w:left="2944" w:hanging="360"/>
      </w:pPr>
    </w:lvl>
    <w:lvl w:ilvl="4" w:tplc="04070019" w:tentative="1">
      <w:start w:val="1"/>
      <w:numFmt w:val="lowerLetter"/>
      <w:lvlText w:val="%5."/>
      <w:lvlJc w:val="left"/>
      <w:pPr>
        <w:ind w:left="3664" w:hanging="360"/>
      </w:pPr>
    </w:lvl>
    <w:lvl w:ilvl="5" w:tplc="0407001B" w:tentative="1">
      <w:start w:val="1"/>
      <w:numFmt w:val="lowerRoman"/>
      <w:lvlText w:val="%6."/>
      <w:lvlJc w:val="right"/>
      <w:pPr>
        <w:ind w:left="4384" w:hanging="180"/>
      </w:pPr>
    </w:lvl>
    <w:lvl w:ilvl="6" w:tplc="0407000F" w:tentative="1">
      <w:start w:val="1"/>
      <w:numFmt w:val="decimal"/>
      <w:lvlText w:val="%7."/>
      <w:lvlJc w:val="left"/>
      <w:pPr>
        <w:ind w:left="5104" w:hanging="360"/>
      </w:pPr>
    </w:lvl>
    <w:lvl w:ilvl="7" w:tplc="04070019" w:tentative="1">
      <w:start w:val="1"/>
      <w:numFmt w:val="lowerLetter"/>
      <w:lvlText w:val="%8."/>
      <w:lvlJc w:val="left"/>
      <w:pPr>
        <w:ind w:left="5824" w:hanging="360"/>
      </w:pPr>
    </w:lvl>
    <w:lvl w:ilvl="8" w:tplc="0407001B" w:tentative="1">
      <w:start w:val="1"/>
      <w:numFmt w:val="lowerRoman"/>
      <w:lvlText w:val="%9."/>
      <w:lvlJc w:val="right"/>
      <w:pPr>
        <w:ind w:left="6544" w:hanging="180"/>
      </w:pPr>
    </w:lvl>
  </w:abstractNum>
  <w:abstractNum w:abstractNumId="1" w15:restartNumberingAfterBreak="0">
    <w:nsid w:val="18AE7C04"/>
    <w:multiLevelType w:val="hybridMultilevel"/>
    <w:tmpl w:val="90160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B379B0"/>
    <w:multiLevelType w:val="hybridMultilevel"/>
    <w:tmpl w:val="3C005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6A70D3"/>
    <w:multiLevelType w:val="hybridMultilevel"/>
    <w:tmpl w:val="1AEAE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141EFC"/>
    <w:multiLevelType w:val="hybridMultilevel"/>
    <w:tmpl w:val="A18C16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797778A"/>
    <w:multiLevelType w:val="hybridMultilevel"/>
    <w:tmpl w:val="95E4D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42C265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6D84036"/>
    <w:multiLevelType w:val="hybridMultilevel"/>
    <w:tmpl w:val="385A3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0E0566"/>
    <w:multiLevelType w:val="hybridMultilevel"/>
    <w:tmpl w:val="ADECD23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9" w15:restartNumberingAfterBreak="0">
    <w:nsid w:val="7AF01D3D"/>
    <w:multiLevelType w:val="hybridMultilevel"/>
    <w:tmpl w:val="2CF2CE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8127813">
    <w:abstractNumId w:val="6"/>
  </w:num>
  <w:num w:numId="2" w16cid:durableId="876352086">
    <w:abstractNumId w:val="3"/>
  </w:num>
  <w:num w:numId="3" w16cid:durableId="917441924">
    <w:abstractNumId w:val="4"/>
  </w:num>
  <w:num w:numId="4" w16cid:durableId="2098017731">
    <w:abstractNumId w:val="5"/>
  </w:num>
  <w:num w:numId="5" w16cid:durableId="23989640">
    <w:abstractNumId w:val="2"/>
  </w:num>
  <w:num w:numId="6" w16cid:durableId="154492739">
    <w:abstractNumId w:val="7"/>
  </w:num>
  <w:num w:numId="7" w16cid:durableId="1209342237">
    <w:abstractNumId w:val="0"/>
  </w:num>
  <w:num w:numId="8" w16cid:durableId="169100120">
    <w:abstractNumId w:val="1"/>
  </w:num>
  <w:num w:numId="9" w16cid:durableId="248125873">
    <w:abstractNumId w:val="9"/>
  </w:num>
  <w:num w:numId="10" w16cid:durableId="2411071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DA3"/>
    <w:rsid w:val="00042A5B"/>
    <w:rsid w:val="0006142F"/>
    <w:rsid w:val="000B6FDA"/>
    <w:rsid w:val="000C2481"/>
    <w:rsid w:val="000F16D5"/>
    <w:rsid w:val="001043EC"/>
    <w:rsid w:val="001603F0"/>
    <w:rsid w:val="001D45F8"/>
    <w:rsid w:val="0020023C"/>
    <w:rsid w:val="002810CC"/>
    <w:rsid w:val="00296DD5"/>
    <w:rsid w:val="003B263A"/>
    <w:rsid w:val="003B3343"/>
    <w:rsid w:val="003D782F"/>
    <w:rsid w:val="003E6FF5"/>
    <w:rsid w:val="003F1391"/>
    <w:rsid w:val="00411DA3"/>
    <w:rsid w:val="00431B39"/>
    <w:rsid w:val="0044763B"/>
    <w:rsid w:val="00460BEF"/>
    <w:rsid w:val="00482AA7"/>
    <w:rsid w:val="004A425F"/>
    <w:rsid w:val="004A447F"/>
    <w:rsid w:val="004B2D24"/>
    <w:rsid w:val="004C0CBD"/>
    <w:rsid w:val="00547A7C"/>
    <w:rsid w:val="00561273"/>
    <w:rsid w:val="005A7456"/>
    <w:rsid w:val="005E6E52"/>
    <w:rsid w:val="00672AF4"/>
    <w:rsid w:val="006D6E9D"/>
    <w:rsid w:val="006F4A66"/>
    <w:rsid w:val="007349BC"/>
    <w:rsid w:val="00766092"/>
    <w:rsid w:val="007A47D1"/>
    <w:rsid w:val="007C59CD"/>
    <w:rsid w:val="007D6C12"/>
    <w:rsid w:val="00800A8A"/>
    <w:rsid w:val="00820E3A"/>
    <w:rsid w:val="00893830"/>
    <w:rsid w:val="008B164D"/>
    <w:rsid w:val="008B52EF"/>
    <w:rsid w:val="00915586"/>
    <w:rsid w:val="009473D9"/>
    <w:rsid w:val="00954853"/>
    <w:rsid w:val="00976ECA"/>
    <w:rsid w:val="009935CF"/>
    <w:rsid w:val="009C270E"/>
    <w:rsid w:val="009C7F27"/>
    <w:rsid w:val="00A15E65"/>
    <w:rsid w:val="00AA22F2"/>
    <w:rsid w:val="00AF1F71"/>
    <w:rsid w:val="00B64617"/>
    <w:rsid w:val="00BC5733"/>
    <w:rsid w:val="00BE582D"/>
    <w:rsid w:val="00C11B55"/>
    <w:rsid w:val="00C200EA"/>
    <w:rsid w:val="00C23C81"/>
    <w:rsid w:val="00C5114E"/>
    <w:rsid w:val="00C93926"/>
    <w:rsid w:val="00CA709B"/>
    <w:rsid w:val="00CC3470"/>
    <w:rsid w:val="00D064E6"/>
    <w:rsid w:val="00D3186F"/>
    <w:rsid w:val="00D329FC"/>
    <w:rsid w:val="00D87FDF"/>
    <w:rsid w:val="00D907AC"/>
    <w:rsid w:val="00D9263A"/>
    <w:rsid w:val="00DC2BDA"/>
    <w:rsid w:val="00E21F2C"/>
    <w:rsid w:val="00E63AAB"/>
    <w:rsid w:val="00E913E8"/>
    <w:rsid w:val="00EA2357"/>
    <w:rsid w:val="00EB1611"/>
    <w:rsid w:val="00F1781F"/>
    <w:rsid w:val="00F71B9B"/>
    <w:rsid w:val="00FB40FA"/>
    <w:rsid w:val="00FB49EF"/>
    <w:rsid w:val="00FB6F38"/>
    <w:rsid w:val="00FD6B27"/>
    <w:rsid w:val="00FE1184"/>
    <w:rsid w:val="00FF25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73954"/>
  <w15:chartTrackingRefBased/>
  <w15:docId w15:val="{AC047BD1-4CE3-4EEF-9004-40B7CCC1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40FA"/>
    <w:pPr>
      <w:jc w:val="both"/>
    </w:pPr>
  </w:style>
  <w:style w:type="paragraph" w:styleId="berschrift1">
    <w:name w:val="heading 1"/>
    <w:basedOn w:val="Standard"/>
    <w:next w:val="Standard"/>
    <w:link w:val="berschrift1Zchn"/>
    <w:uiPriority w:val="9"/>
    <w:qFormat/>
    <w:rsid w:val="00FB40FA"/>
    <w:pPr>
      <w:keepNext/>
      <w:keepLines/>
      <w:numPr>
        <w:numId w:val="1"/>
      </w:numPr>
      <w:spacing w:before="240" w:after="0"/>
      <w:outlineLvl w:val="0"/>
    </w:pPr>
    <w:rPr>
      <w:rFonts w:asciiTheme="majorHAnsi" w:eastAsiaTheme="majorEastAsia" w:hAnsiTheme="majorHAnsi" w:cstheme="majorBidi"/>
      <w:b/>
      <w:sz w:val="32"/>
      <w:szCs w:val="32"/>
    </w:rPr>
  </w:style>
  <w:style w:type="paragraph" w:styleId="berschrift2">
    <w:name w:val="heading 2"/>
    <w:basedOn w:val="Standard"/>
    <w:next w:val="Standard"/>
    <w:link w:val="berschrift2Zchn"/>
    <w:uiPriority w:val="9"/>
    <w:unhideWhenUsed/>
    <w:qFormat/>
    <w:rsid w:val="00FB40FA"/>
    <w:pPr>
      <w:keepNext/>
      <w:keepLines/>
      <w:numPr>
        <w:ilvl w:val="1"/>
        <w:numId w:val="1"/>
      </w:numPr>
      <w:spacing w:before="40" w:after="0"/>
      <w:outlineLvl w:val="1"/>
    </w:pPr>
    <w:rPr>
      <w:rFonts w:asciiTheme="majorHAnsi" w:eastAsiaTheme="majorEastAsia" w:hAnsiTheme="majorHAnsi" w:cstheme="majorBidi"/>
      <w:sz w:val="28"/>
      <w:szCs w:val="26"/>
    </w:rPr>
  </w:style>
  <w:style w:type="paragraph" w:styleId="berschrift3">
    <w:name w:val="heading 3"/>
    <w:basedOn w:val="Standard"/>
    <w:next w:val="Standard"/>
    <w:link w:val="berschrift3Zchn"/>
    <w:uiPriority w:val="9"/>
    <w:unhideWhenUsed/>
    <w:qFormat/>
    <w:rsid w:val="00E913E8"/>
    <w:pPr>
      <w:keepNext/>
      <w:keepLines/>
      <w:numPr>
        <w:ilvl w:val="2"/>
        <w:numId w:val="1"/>
      </w:numPr>
      <w:spacing w:before="40" w:after="0"/>
      <w:outlineLvl w:val="2"/>
    </w:pPr>
    <w:rPr>
      <w:rFonts w:asciiTheme="majorHAnsi" w:eastAsiaTheme="majorEastAsia" w:hAnsiTheme="majorHAnsi" w:cstheme="majorBidi"/>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B40FA"/>
    <w:rPr>
      <w:rFonts w:asciiTheme="majorHAnsi" w:eastAsiaTheme="majorEastAsia" w:hAnsiTheme="majorHAnsi" w:cstheme="majorBidi"/>
      <w:b/>
      <w:sz w:val="32"/>
      <w:szCs w:val="32"/>
    </w:rPr>
  </w:style>
  <w:style w:type="character" w:customStyle="1" w:styleId="berschrift2Zchn">
    <w:name w:val="Überschrift 2 Zchn"/>
    <w:basedOn w:val="Absatz-Standardschriftart"/>
    <w:link w:val="berschrift2"/>
    <w:uiPriority w:val="9"/>
    <w:rsid w:val="00FB40FA"/>
    <w:rPr>
      <w:rFonts w:asciiTheme="majorHAnsi" w:eastAsiaTheme="majorEastAsia" w:hAnsiTheme="majorHAnsi" w:cstheme="majorBidi"/>
      <w:sz w:val="28"/>
      <w:szCs w:val="26"/>
    </w:rPr>
  </w:style>
  <w:style w:type="character" w:customStyle="1" w:styleId="berschrift3Zchn">
    <w:name w:val="Überschrift 3 Zchn"/>
    <w:basedOn w:val="Absatz-Standardschriftart"/>
    <w:link w:val="berschrift3"/>
    <w:uiPriority w:val="9"/>
    <w:rsid w:val="00E913E8"/>
    <w:rPr>
      <w:rFonts w:asciiTheme="majorHAnsi" w:eastAsiaTheme="majorEastAsia" w:hAnsiTheme="majorHAnsi" w:cstheme="majorBidi"/>
      <w:sz w:val="24"/>
      <w:szCs w:val="24"/>
    </w:rPr>
  </w:style>
  <w:style w:type="paragraph" w:styleId="Titel">
    <w:name w:val="Title"/>
    <w:basedOn w:val="Standard"/>
    <w:next w:val="Standard"/>
    <w:link w:val="TitelZchn"/>
    <w:uiPriority w:val="10"/>
    <w:qFormat/>
    <w:rsid w:val="00411D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DA3"/>
    <w:rPr>
      <w:rFonts w:asciiTheme="majorHAnsi" w:eastAsiaTheme="majorEastAsia" w:hAnsiTheme="majorHAnsi" w:cstheme="majorBidi"/>
      <w:spacing w:val="-10"/>
      <w:kern w:val="28"/>
      <w:sz w:val="56"/>
      <w:szCs w:val="56"/>
    </w:rPr>
  </w:style>
  <w:style w:type="character" w:styleId="Kommentarzeichen">
    <w:name w:val="annotation reference"/>
    <w:basedOn w:val="Absatz-Standardschriftart"/>
    <w:uiPriority w:val="99"/>
    <w:semiHidden/>
    <w:unhideWhenUsed/>
    <w:rsid w:val="00411DA3"/>
    <w:rPr>
      <w:sz w:val="16"/>
      <w:szCs w:val="16"/>
    </w:rPr>
  </w:style>
  <w:style w:type="paragraph" w:styleId="Kommentartext">
    <w:name w:val="annotation text"/>
    <w:basedOn w:val="Standard"/>
    <w:link w:val="KommentartextZchn"/>
    <w:uiPriority w:val="99"/>
    <w:semiHidden/>
    <w:unhideWhenUsed/>
    <w:rsid w:val="00411DA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1DA3"/>
    <w:rPr>
      <w:sz w:val="20"/>
      <w:szCs w:val="20"/>
    </w:rPr>
  </w:style>
  <w:style w:type="paragraph" w:styleId="Kommentarthema">
    <w:name w:val="annotation subject"/>
    <w:basedOn w:val="Kommentartext"/>
    <w:next w:val="Kommentartext"/>
    <w:link w:val="KommentarthemaZchn"/>
    <w:uiPriority w:val="99"/>
    <w:semiHidden/>
    <w:unhideWhenUsed/>
    <w:rsid w:val="00411DA3"/>
    <w:rPr>
      <w:b/>
      <w:bCs/>
    </w:rPr>
  </w:style>
  <w:style w:type="character" w:customStyle="1" w:styleId="KommentarthemaZchn">
    <w:name w:val="Kommentarthema Zchn"/>
    <w:basedOn w:val="KommentartextZchn"/>
    <w:link w:val="Kommentarthema"/>
    <w:uiPriority w:val="99"/>
    <w:semiHidden/>
    <w:rsid w:val="00411DA3"/>
    <w:rPr>
      <w:b/>
      <w:bCs/>
      <w:sz w:val="20"/>
      <w:szCs w:val="20"/>
    </w:rPr>
  </w:style>
  <w:style w:type="paragraph" w:styleId="Sprechblasentext">
    <w:name w:val="Balloon Text"/>
    <w:basedOn w:val="Standard"/>
    <w:link w:val="SprechblasentextZchn"/>
    <w:uiPriority w:val="99"/>
    <w:semiHidden/>
    <w:unhideWhenUsed/>
    <w:rsid w:val="00411DA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11DA3"/>
    <w:rPr>
      <w:rFonts w:ascii="Segoe UI" w:hAnsi="Segoe UI" w:cs="Segoe UI"/>
      <w:sz w:val="18"/>
      <w:szCs w:val="18"/>
    </w:rPr>
  </w:style>
  <w:style w:type="paragraph" w:styleId="Listenabsatz">
    <w:name w:val="List Paragraph"/>
    <w:basedOn w:val="Standard"/>
    <w:uiPriority w:val="34"/>
    <w:qFormat/>
    <w:rsid w:val="00411DA3"/>
    <w:pPr>
      <w:ind w:left="720"/>
      <w:contextualSpacing/>
    </w:pPr>
  </w:style>
  <w:style w:type="table" w:styleId="Tabellenraster">
    <w:name w:val="Table Grid"/>
    <w:basedOn w:val="NormaleTabelle"/>
    <w:uiPriority w:val="39"/>
    <w:rsid w:val="00947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672AF4"/>
    <w:pPr>
      <w:numPr>
        <w:numId w:val="0"/>
      </w:numPr>
      <w:jc w:val="left"/>
      <w:outlineLvl w:val="9"/>
    </w:pPr>
    <w:rPr>
      <w:b w:val="0"/>
      <w:color w:val="2E74B5" w:themeColor="accent1" w:themeShade="BF"/>
      <w:lang w:eastAsia="de-DE"/>
    </w:rPr>
  </w:style>
  <w:style w:type="paragraph" w:styleId="Verzeichnis1">
    <w:name w:val="toc 1"/>
    <w:basedOn w:val="Standard"/>
    <w:next w:val="Standard"/>
    <w:autoRedefine/>
    <w:uiPriority w:val="39"/>
    <w:unhideWhenUsed/>
    <w:rsid w:val="00672AF4"/>
    <w:pPr>
      <w:spacing w:after="100"/>
    </w:pPr>
  </w:style>
  <w:style w:type="paragraph" w:styleId="Verzeichnis2">
    <w:name w:val="toc 2"/>
    <w:basedOn w:val="Standard"/>
    <w:next w:val="Standard"/>
    <w:autoRedefine/>
    <w:uiPriority w:val="39"/>
    <w:unhideWhenUsed/>
    <w:rsid w:val="00672AF4"/>
    <w:pPr>
      <w:spacing w:after="100"/>
      <w:ind w:left="220"/>
    </w:pPr>
  </w:style>
  <w:style w:type="character" w:styleId="Hyperlink">
    <w:name w:val="Hyperlink"/>
    <w:basedOn w:val="Absatz-Standardschriftart"/>
    <w:uiPriority w:val="99"/>
    <w:unhideWhenUsed/>
    <w:rsid w:val="00672AF4"/>
    <w:rPr>
      <w:color w:val="0563C1" w:themeColor="hyperlink"/>
      <w:u w:val="single"/>
    </w:rPr>
  </w:style>
  <w:style w:type="paragraph" w:customStyle="1" w:styleId="Default">
    <w:name w:val="Default"/>
    <w:rsid w:val="007349B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80429">
      <w:bodyDiv w:val="1"/>
      <w:marLeft w:val="0"/>
      <w:marRight w:val="0"/>
      <w:marTop w:val="0"/>
      <w:marBottom w:val="0"/>
      <w:divBdr>
        <w:top w:val="none" w:sz="0" w:space="0" w:color="auto"/>
        <w:left w:val="none" w:sz="0" w:space="0" w:color="auto"/>
        <w:bottom w:val="none" w:sz="0" w:space="0" w:color="auto"/>
        <w:right w:val="none" w:sz="0" w:space="0" w:color="auto"/>
      </w:divBdr>
    </w:div>
    <w:div w:id="133865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adtentwaesserung@tuebingen.d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DCCA-C2AF-44FF-BDEB-225C698B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6875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Kirsten, Universitätsstadt Tübingen</dc:creator>
  <cp:keywords/>
  <dc:description/>
  <cp:lastModifiedBy>Reiss-Gerwig, Daniel, Universitätsstadt Tübingen</cp:lastModifiedBy>
  <cp:revision>6</cp:revision>
  <dcterms:created xsi:type="dcterms:W3CDTF">2025-09-05T05:47:00Z</dcterms:created>
  <dcterms:modified xsi:type="dcterms:W3CDTF">2026-08-27T07:10:00Z</dcterms:modified>
</cp:coreProperties>
</file>